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  <w:t xml:space="preserve">НУРМИНСКОЕ </w:t>
      </w:r>
      <w:r>
        <w:rPr>
          <w:b/>
          <w:lang w:eastAsia="en-US"/>
        </w:rPr>
        <w:t xml:space="preserve">СЕЛЬСКОЕ ПОСЕЛЕНИЕ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  <w:t xml:space="preserve">ТОСНЕНСКОГО </w:t>
      </w:r>
      <w:r>
        <w:rPr>
          <w:b/>
          <w:lang w:eastAsia="en-US"/>
        </w:rPr>
        <w:t xml:space="preserve">МУНИЦИПАЛЬНОГО </w:t>
      </w:r>
      <w:r>
        <w:rPr>
          <w:b/>
          <w:lang w:eastAsia="en-US"/>
        </w:rPr>
        <w:t xml:space="preserve">РАЙОНА 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  <w:t xml:space="preserve">ЛЕНИНГРАДСКОЙ ОБЛАСТИ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  <w:t xml:space="preserve">АДМИНИСТРАЦИЯ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left="-567" w:firstLine="141"/>
        <w:jc w:val="center"/>
        <w:tabs>
          <w:tab w:val="left" w:pos="142" w:leader="none"/>
        </w:tabs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ПОСТАНОВЛЕНИЕ</w:t>
      </w:r>
      <w:r>
        <w:rPr>
          <w:b/>
          <w:sz w:val="36"/>
          <w:szCs w:val="36"/>
          <w:lang w:eastAsia="en-US"/>
        </w:rPr>
      </w:r>
      <w:r>
        <w:rPr>
          <w:b/>
          <w:sz w:val="36"/>
          <w:szCs w:val="36"/>
          <w:lang w:eastAsia="en-US"/>
        </w:rPr>
      </w:r>
    </w:p>
    <w:p>
      <w:pPr>
        <w:ind w:left="-709"/>
        <w:jc w:val="center"/>
        <w:tabs>
          <w:tab w:val="left" w:pos="142" w:leader="none"/>
        </w:tabs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</w:r>
      <w:r>
        <w:rPr>
          <w:b/>
          <w:sz w:val="36"/>
          <w:szCs w:val="36"/>
          <w:lang w:eastAsia="en-US"/>
        </w:rPr>
      </w:r>
      <w:r>
        <w:rPr>
          <w:b/>
          <w:sz w:val="36"/>
          <w:szCs w:val="36"/>
          <w:lang w:eastAsia="en-US"/>
        </w:rPr>
      </w:r>
    </w:p>
    <w:p>
      <w:pPr>
        <w:ind w:left="-709"/>
        <w:jc w:val="both"/>
        <w:tabs>
          <w:tab w:val="left" w:pos="-284" w:leader="none"/>
          <w:tab w:val="left" w:pos="3180" w:leader="none"/>
          <w:tab w:val="left" w:pos="8220" w:leader="none"/>
        </w:tabs>
        <w:rPr>
          <w:u w:val="single"/>
          <w:lang w:eastAsia="en-US"/>
        </w:rPr>
      </w:pPr>
      <w:r>
        <w:rPr>
          <w:u w:val="single"/>
          <w:lang w:eastAsia="en-US"/>
        </w:rPr>
        <w:t xml:space="preserve">27.</w:t>
      </w:r>
      <w:r>
        <w:rPr>
          <w:u w:val="single"/>
          <w:lang w:eastAsia="en-US"/>
        </w:rPr>
        <w:t xml:space="preserve">12</w:t>
      </w:r>
      <w:r>
        <w:rPr>
          <w:u w:val="single"/>
          <w:lang w:eastAsia="en-US"/>
        </w:rPr>
        <w:t xml:space="preserve">.</w:t>
      </w:r>
      <w:r>
        <w:rPr>
          <w:u w:val="single"/>
          <w:lang w:eastAsia="en-US"/>
        </w:rPr>
        <w:t xml:space="preserve">202</w:t>
      </w:r>
      <w:r>
        <w:rPr>
          <w:u w:val="single"/>
          <w:lang w:eastAsia="en-US"/>
        </w:rPr>
        <w:t xml:space="preserve">4</w:t>
      </w:r>
      <w:r>
        <w:rPr>
          <w:u w:val="single"/>
          <w:lang w:eastAsia="en-US"/>
        </w:rPr>
        <w:t xml:space="preserve"> №</w:t>
      </w:r>
      <w:r>
        <w:rPr>
          <w:u w:val="single"/>
          <w:lang w:eastAsia="en-US"/>
        </w:rPr>
        <w:t xml:space="preserve">255</w:t>
      </w:r>
      <w:r>
        <w:rPr>
          <w:u w:val="single"/>
          <w:lang w:eastAsia="en-US"/>
        </w:rPr>
      </w:r>
    </w:p>
    <w:p>
      <w:pPr>
        <w:ind w:left="-709"/>
        <w:jc w:val="both"/>
        <w:tabs>
          <w:tab w:val="left" w:pos="-284" w:leader="none"/>
          <w:tab w:val="left" w:pos="3180" w:leader="none"/>
          <w:tab w:val="left" w:pos="8220" w:leader="none"/>
        </w:tabs>
        <w:rPr>
          <w:u w:val="single"/>
          <w:lang w:eastAsia="en-US"/>
        </w:rPr>
      </w:pPr>
      <w:r>
        <w:rPr>
          <w:u w:val="single"/>
          <w:lang w:eastAsia="en-US"/>
        </w:rPr>
      </w:r>
      <w:r>
        <w:rPr>
          <w:u w:val="single"/>
          <w:lang w:eastAsia="en-US"/>
        </w:rPr>
      </w:r>
      <w:r>
        <w:rPr>
          <w:u w:val="single"/>
          <w:lang w:eastAsia="en-US"/>
        </w:rPr>
      </w:r>
    </w:p>
    <w:p>
      <w:pPr>
        <w:ind w:left="-709"/>
        <w:jc w:val="both"/>
        <w:tabs>
          <w:tab w:val="left" w:pos="-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 утверждении </w:t>
      </w:r>
      <w:r>
        <w:rPr>
          <w:rFonts w:ascii="Times New Roman" w:hAnsi="Times New Roman"/>
          <w:sz w:val="24"/>
          <w:szCs w:val="24"/>
        </w:rPr>
        <w:t xml:space="preserve">Перечня индикаторов риска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709"/>
        <w:jc w:val="both"/>
        <w:tabs>
          <w:tab w:val="left" w:pos="-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нарушения обязательных требований</w:t>
      </w:r>
      <w:r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709"/>
        <w:jc w:val="both"/>
        <w:tabs>
          <w:tab w:val="left" w:pos="-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осуществлении муниципального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709"/>
        <w:jc w:val="both"/>
        <w:tabs>
          <w:tab w:val="left" w:pos="-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жилищного контроля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/>
          <w:iCs/>
          <w:sz w:val="24"/>
          <w:szCs w:val="24"/>
        </w:rPr>
        <w:t xml:space="preserve">н</w:t>
      </w:r>
      <w:r>
        <w:rPr>
          <w:rFonts w:ascii="Times New Roman" w:hAnsi="Times New Roman" w:eastAsia="Calibri"/>
          <w:sz w:val="24"/>
          <w:szCs w:val="24"/>
        </w:rPr>
        <w:t xml:space="preserve">а территории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709"/>
        <w:jc w:val="both"/>
        <w:tabs>
          <w:tab w:val="left" w:pos="-284" w:leader="none"/>
        </w:tabs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bCs/>
          <w:sz w:val="24"/>
          <w:szCs w:val="24"/>
        </w:rPr>
        <w:t xml:space="preserve">муниципального образования</w:t>
      </w:r>
      <w:r>
        <w:t xml:space="preserve"> </w:t>
      </w:r>
      <w:r>
        <w:t xml:space="preserve">Нурминского</w:t>
      </w:r>
      <w:r>
        <w:rPr>
          <w:rFonts w:ascii="Times New Roman" w:hAnsi="Times New Roman" w:eastAsia="Calibri"/>
          <w:sz w:val="24"/>
          <w:szCs w:val="24"/>
        </w:rPr>
      </w:r>
      <w:r/>
    </w:p>
    <w:p>
      <w:pPr>
        <w:ind w:left="-709"/>
        <w:jc w:val="both"/>
        <w:tabs>
          <w:tab w:val="left" w:pos="-284" w:leader="none"/>
        </w:tabs>
      </w:pPr>
      <w:r>
        <w:t xml:space="preserve">сельского поселения Тосненского </w:t>
      </w:r>
      <w:r>
        <w:t xml:space="preserve">района</w:t>
      </w:r>
      <w:r>
        <w:t xml:space="preserve"> </w:t>
      </w:r>
      <w:r>
        <w:rPr>
          <w:rFonts w:ascii="Times New Roman" w:hAnsi="Times New Roman" w:eastAsia="Calibri"/>
          <w:sz w:val="24"/>
          <w:szCs w:val="24"/>
        </w:rPr>
      </w:r>
      <w:r/>
    </w:p>
    <w:p>
      <w:pPr>
        <w:ind w:left="-709"/>
        <w:jc w:val="both"/>
        <w:tabs>
          <w:tab w:val="left" w:pos="-284" w:leader="none"/>
        </w:tabs>
        <w:rPr>
          <w:rFonts w:ascii="Times New Roman" w:hAnsi="Times New Roman" w:eastAsia="Calibri"/>
          <w:sz w:val="24"/>
          <w:szCs w:val="24"/>
        </w:rPr>
      </w:pPr>
      <w:r>
        <w:t xml:space="preserve">Ленинградской области 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  <w:t xml:space="preserve">  </w:t>
      </w:r>
      <w:r>
        <w:rPr>
          <w:sz w:val="24"/>
          <w:szCs w:val="24"/>
          <w:lang w:eastAsia="en-US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31.07.2020 </w:t>
      </w:r>
      <w:r>
        <w:rPr>
          <w:rFonts w:ascii="Times New Roman" w:hAnsi="Times New Roman"/>
          <w:color w:val="000000"/>
          <w:sz w:val="24"/>
          <w:szCs w:val="24"/>
        </w:rPr>
        <w:t xml:space="preserve">года </w:t>
      </w:r>
      <w:r>
        <w:rPr>
          <w:rFonts w:ascii="Times New Roman" w:hAnsi="Times New Roman"/>
          <w:color w:val="000000"/>
          <w:sz w:val="24"/>
          <w:szCs w:val="24"/>
        </w:rPr>
        <w:t xml:space="preserve"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248-ФЗ «О государственном контроле (надзоре) и муниципальном контроле в Российской Федерации», пунктом 19 части 1 статьи 14 Федерального закона от 06.10.2003</w:t>
      </w:r>
      <w:r>
        <w:rPr>
          <w:rFonts w:ascii="Times New Roman" w:hAnsi="Times New Roman"/>
          <w:color w:val="000000"/>
          <w:sz w:val="24"/>
          <w:szCs w:val="24"/>
        </w:rPr>
        <w:t xml:space="preserve"> года </w:t>
      </w:r>
      <w:r>
        <w:rPr>
          <w:rFonts w:ascii="Times New Roman" w:hAnsi="Times New Roman"/>
          <w:color w:val="000000"/>
          <w:sz w:val="24"/>
          <w:szCs w:val="24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sz w:val="24"/>
          <w:szCs w:val="24"/>
          <w:lang w:eastAsia="en-US"/>
        </w:rPr>
        <w:t xml:space="preserve"> </w:t>
      </w:r>
      <w:r>
        <w:rPr>
          <w:lang w:eastAsia="en-US"/>
        </w:rPr>
        <w:t xml:space="preserve"> руководствуясь Уставом </w:t>
      </w:r>
      <w:r>
        <w:rPr>
          <w:lang w:eastAsia="en-US"/>
        </w:rPr>
        <w:t xml:space="preserve">Нурминского</w:t>
      </w:r>
      <w:r>
        <w:rPr>
          <w:lang w:eastAsia="en-US"/>
        </w:rPr>
        <w:t xml:space="preserve"> сельского поселения Тосненског</w:t>
      </w:r>
      <w:r>
        <w:rPr>
          <w:lang w:eastAsia="en-US"/>
        </w:rPr>
        <w:t xml:space="preserve">о муниципального района Ленинградской области, администрация</w:t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highlight w:val="none"/>
          <w:lang w:eastAsia="en-US"/>
        </w:rPr>
      </w:pPr>
      <w:r>
        <w:rPr>
          <w:lang w:eastAsia="en-US"/>
        </w:rPr>
      </w:r>
      <w:r>
        <w:rPr>
          <w:lang w:eastAsia="en-US"/>
        </w:rPr>
        <w:t xml:space="preserve">Нурминского</w:t>
      </w:r>
      <w:r>
        <w:rPr>
          <w:lang w:eastAsia="en-US"/>
        </w:rPr>
        <w:t xml:space="preserve"> сельского поселения Тосненског</w:t>
      </w:r>
      <w:r>
        <w:rPr>
          <w:lang w:eastAsia="en-US"/>
        </w:rPr>
        <w:t xml:space="preserve">о муниципального района Ленинградской области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highlight w:val="none"/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highlight w:val="none"/>
          <w:lang w:eastAsia="en-US"/>
        </w:rPr>
      </w:pPr>
      <w:r>
        <w:rPr>
          <w:lang w:eastAsia="en-US"/>
        </w:rPr>
        <w:t xml:space="preserve">ПОСТАНОВЛЯЮ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highlight w:val="none"/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rFonts w:ascii="Times New Roman" w:hAnsi="Times New Roman"/>
          <w:color w:val="231f20"/>
          <w:sz w:val="24"/>
          <w:szCs w:val="24"/>
        </w:rPr>
      </w:pPr>
      <w:r>
        <w:rPr>
          <w:lang w:eastAsia="en-US"/>
        </w:rPr>
      </w:r>
      <w:r>
        <w:rPr>
          <w:lang w:eastAsia="en-US"/>
        </w:rPr>
        <w:t xml:space="preserve">         </w:t>
      </w:r>
      <w:r>
        <w:rPr>
          <w:lang w:eastAsia="en-US"/>
        </w:rPr>
        <w:t xml:space="preserve">1.</w:t>
      </w:r>
      <w:r>
        <w:rPr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Утвердить прилагаемый  Перечень </w:t>
      </w:r>
      <w:r>
        <w:rPr>
          <w:rFonts w:ascii="Times New Roman" w:hAnsi="Times New Roman"/>
          <w:sz w:val="24"/>
          <w:szCs w:val="24"/>
        </w:rPr>
        <w:t xml:space="preserve">индикаторов риска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нарушения обязательных требований при осуществлении муниципального жилищного контроля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Calibri"/>
          <w:iCs/>
          <w:sz w:val="24"/>
          <w:szCs w:val="24"/>
        </w:rPr>
        <w:t xml:space="preserve">н</w:t>
      </w:r>
      <w:r>
        <w:rPr>
          <w:rFonts w:ascii="Times New Roman" w:hAnsi="Times New Roman" w:eastAsia="Calibri"/>
          <w:sz w:val="24"/>
          <w:szCs w:val="24"/>
        </w:rPr>
        <w:t xml:space="preserve">а территории </w:t>
      </w:r>
      <w:r>
        <w:rPr>
          <w:rFonts w:ascii="Times New Roman" w:hAnsi="Times New Roman" w:eastAsia="Calibri"/>
          <w:bCs/>
          <w:sz w:val="24"/>
          <w:szCs w:val="24"/>
        </w:rPr>
        <w:t xml:space="preserve"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Нурминское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сельское поселение Тосненского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согласно приложению.</w:t>
      </w:r>
      <w:r>
        <w:rPr>
          <w:rFonts w:ascii="Times New Roman" w:hAnsi="Times New Roman"/>
          <w:color w:val="231f20"/>
          <w:sz w:val="24"/>
          <w:szCs w:val="24"/>
        </w:rPr>
      </w:r>
      <w:r>
        <w:rPr>
          <w:rFonts w:ascii="Times New Roman" w:hAnsi="Times New Roman"/>
          <w:color w:val="231f20"/>
          <w:sz w:val="24"/>
          <w:szCs w:val="24"/>
        </w:rPr>
      </w:r>
    </w:p>
    <w:p>
      <w:pPr>
        <w:ind w:left="-709"/>
        <w:jc w:val="both"/>
        <w:tabs>
          <w:tab w:val="left" w:pos="142" w:leader="none"/>
        </w:tabs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2.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Установить, что данный Перечень индикаторов риска используется для определения необходимости проведения внеплановых проверок при осуществлении муниципального жилищного контроля </w:t>
      </w:r>
      <w:r>
        <w:rPr>
          <w:rFonts w:ascii="Times New Roman" w:hAnsi="Times New Roman"/>
          <w:color w:val="000000"/>
          <w:sz w:val="24"/>
          <w:szCs w:val="24"/>
        </w:rPr>
        <w:t xml:space="preserve">на территории </w:t>
      </w:r>
      <w:r>
        <w:rPr>
          <w:rFonts w:ascii="Times New Roman" w:hAnsi="Times New Roman" w:eastAsia="Calibri"/>
          <w:bCs/>
          <w:sz w:val="24"/>
          <w:szCs w:val="24"/>
        </w:rPr>
        <w:t xml:space="preserve"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Нурминское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сельское поселение Тосненского</w:t>
      </w:r>
      <w:r>
        <w:rPr>
          <w:rFonts w:ascii="Times New Roman" w:hAnsi="Times New Roman"/>
          <w:bCs/>
          <w:color w:val="231f20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  <w:t xml:space="preserve">         3. </w:t>
      </w:r>
      <w:r>
        <w:rPr>
          <w:rFonts w:ascii="Times New Roman" w:hAnsi="Times New Roman" w:cs="Times New Roman"/>
          <w:sz w:val="24"/>
          <w:szCs w:val="24"/>
        </w:rPr>
        <w:t xml:space="preserve">Обеспечить официальное опубликование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в сетевом издании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Нурминского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доменное имя сайта в информационно-телекоммуникационной сети «Интернет»: adm-nurma.ru (свидетельство о регистрации средства массовой информации от 28 июня 2024 года серия Эл № ФС77-87717)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и вступает в силу с момента его обнародования.</w:t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rPr>
          <w:lang w:eastAsia="en-US"/>
        </w:rPr>
      </w:pPr>
      <w:r>
        <w:rPr>
          <w:lang w:eastAsia="en-US"/>
        </w:rPr>
        <w:t xml:space="preserve">          </w:t>
      </w:r>
      <w:r>
        <w:t xml:space="preserve">4.  </w:t>
      </w:r>
      <w:r>
        <w:t xml:space="preserve">Контроль за исполнением данного постановления оставляю за собой.</w:t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0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left="-709"/>
        <w:jc w:val="both"/>
        <w:tabs>
          <w:tab w:val="left" w:pos="142" w:leader="none"/>
        </w:tabs>
        <w:rPr>
          <w:lang w:eastAsia="en-US"/>
        </w:rPr>
      </w:pPr>
      <w:r>
        <w:rPr>
          <w:lang w:eastAsia="en-US"/>
        </w:rPr>
        <w:t xml:space="preserve">Г</w:t>
      </w:r>
      <w:r>
        <w:rPr>
          <w:lang w:eastAsia="en-US"/>
        </w:rPr>
        <w:t xml:space="preserve">лав</w:t>
      </w:r>
      <w:r>
        <w:rPr>
          <w:lang w:eastAsia="en-US"/>
        </w:rPr>
        <w:t xml:space="preserve">а</w:t>
      </w:r>
      <w:r>
        <w:rPr>
          <w:lang w:eastAsia="en-US"/>
        </w:rPr>
        <w:t xml:space="preserve"> администрации                              </w:t>
      </w:r>
      <w:r>
        <w:rPr>
          <w:lang w:eastAsia="en-US"/>
        </w:rPr>
        <w:t xml:space="preserve">                               </w:t>
      </w:r>
      <w:r>
        <w:rPr>
          <w:lang w:eastAsia="en-US"/>
        </w:rPr>
        <w:t xml:space="preserve">Н.П. Николаев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tabs>
          <w:tab w:val="left" w:pos="142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both"/>
        <w:tabs>
          <w:tab w:val="left" w:pos="142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both"/>
        <w:tabs>
          <w:tab w:val="left" w:pos="142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both"/>
        <w:tabs>
          <w:tab w:val="left" w:pos="142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both"/>
        <w:tabs>
          <w:tab w:val="left" w:pos="142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both"/>
        <w:tabs>
          <w:tab w:val="left" w:pos="142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left="-567"/>
        <w:jc w:val="both"/>
        <w:tabs>
          <w:tab w:val="left" w:pos="142" w:leader="none"/>
        </w:tabs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p>
      <w:pPr>
        <w:ind w:left="-567"/>
        <w:jc w:val="both"/>
        <w:tabs>
          <w:tab w:val="left" w:pos="142" w:leader="none"/>
        </w:tabs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Исп. </w:t>
      </w:r>
      <w:r>
        <w:rPr>
          <w:sz w:val="16"/>
          <w:szCs w:val="16"/>
          <w:lang w:eastAsia="en-US"/>
        </w:rPr>
        <w:t xml:space="preserve">Мурашова А.А.</w:t>
      </w: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p>
      <w:pPr>
        <w:ind w:left="-567"/>
        <w:jc w:val="both"/>
        <w:tabs>
          <w:tab w:val="left" w:pos="142" w:leader="none"/>
        </w:tabs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Тел 8(813-61)92-326</w:t>
      </w:r>
      <w:r>
        <w:rPr>
          <w:sz w:val="16"/>
          <w:szCs w:val="16"/>
          <w:lang w:eastAsia="en-US"/>
        </w:rPr>
      </w:r>
      <w:r>
        <w:rPr>
          <w:sz w:val="16"/>
          <w:szCs w:val="16"/>
          <w:lang w:eastAsia="en-US"/>
        </w:rPr>
      </w:r>
    </w:p>
    <w:p>
      <w:pPr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</w:r>
      <w:r>
        <w:rPr>
          <w:rFonts w:eastAsiaTheme="minorEastAsia"/>
          <w:sz w:val="22"/>
          <w:szCs w:val="22"/>
          <w:lang w:eastAsia="en-US"/>
        </w:rPr>
      </w:r>
      <w:r>
        <w:rPr>
          <w:rFonts w:eastAsiaTheme="minorEastAsia"/>
          <w:sz w:val="22"/>
          <w:szCs w:val="22"/>
          <w:lang w:eastAsia="en-US"/>
        </w:rPr>
      </w:r>
    </w:p>
    <w:p>
      <w:pPr>
        <w:ind w:left="5670"/>
        <w:jc w:val="right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</w:r>
      <w:r>
        <w:rPr>
          <w:rFonts w:eastAsiaTheme="minorEastAsia"/>
          <w:sz w:val="22"/>
          <w:szCs w:val="22"/>
          <w:lang w:eastAsia="en-US"/>
        </w:rPr>
      </w:r>
      <w:r>
        <w:rPr>
          <w:rFonts w:eastAsiaTheme="minorEastAsia"/>
          <w:sz w:val="22"/>
          <w:szCs w:val="22"/>
          <w:lang w:eastAsia="en-US"/>
        </w:rPr>
      </w:r>
    </w:p>
    <w:p>
      <w:pPr>
        <w:ind w:left="5670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</w:r>
      <w:r>
        <w:rPr>
          <w:rFonts w:eastAsiaTheme="minorEastAsia"/>
          <w:lang w:eastAsia="en-US"/>
        </w:rPr>
      </w:r>
      <w:r>
        <w:rPr>
          <w:rFonts w:eastAsiaTheme="minorEastAsia"/>
          <w:lang w:eastAsia="en-US"/>
        </w:rPr>
      </w:r>
    </w:p>
    <w:p>
      <w:pPr>
        <w:ind w:left="5670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Приложение к постановлению администрации </w:t>
      </w:r>
      <w:r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</w:r>
      <w:r>
        <w:rPr>
          <w:rFonts w:eastAsiaTheme="minorEastAsia"/>
          <w:lang w:eastAsia="en-US"/>
        </w:rPr>
      </w:r>
    </w:p>
    <w:p>
      <w:pPr>
        <w:ind w:left="5670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Нурминского</w:t>
      </w:r>
      <w:r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 xml:space="preserve">сельского поселения </w:t>
      </w:r>
      <w:r>
        <w:rPr>
          <w:rFonts w:eastAsiaTheme="minorEastAsia"/>
          <w:lang w:eastAsia="en-US"/>
        </w:rPr>
        <w:t xml:space="preserve">     </w:t>
      </w:r>
      <w:r>
        <w:rPr>
          <w:rFonts w:eastAsiaTheme="minorEastAsia"/>
          <w:lang w:eastAsia="en-US"/>
        </w:rPr>
        <w:t xml:space="preserve">Тосненского района </w:t>
      </w:r>
      <w:r>
        <w:rPr>
          <w:rFonts w:eastAsiaTheme="minorEastAsia"/>
          <w:lang w:eastAsia="en-US"/>
        </w:rPr>
      </w:r>
      <w:r>
        <w:rPr>
          <w:rFonts w:eastAsiaTheme="minorEastAsia"/>
          <w:lang w:eastAsia="en-US"/>
        </w:rPr>
      </w:r>
    </w:p>
    <w:p>
      <w:pPr>
        <w:jc w:val="center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                                                                     </w:t>
      </w:r>
      <w:r>
        <w:rPr>
          <w:rFonts w:eastAsiaTheme="minorEastAsia"/>
          <w:lang w:eastAsia="en-US"/>
        </w:rPr>
        <w:t xml:space="preserve">Ленинградской области </w:t>
      </w:r>
      <w:r>
        <w:rPr>
          <w:rFonts w:eastAsiaTheme="minorEastAsia"/>
          <w:lang w:eastAsia="en-US"/>
        </w:rPr>
      </w:r>
      <w:r>
        <w:rPr>
          <w:rFonts w:eastAsiaTheme="minorEastAsia"/>
          <w:lang w:eastAsia="en-US"/>
        </w:rPr>
      </w:r>
    </w:p>
    <w:p>
      <w:pPr>
        <w:jc w:val="center"/>
        <w:tabs>
          <w:tab w:val="left" w:pos="3180" w:leader="none"/>
          <w:tab w:val="left" w:pos="8220" w:leader="none"/>
        </w:tabs>
        <w:rPr>
          <w:rFonts w:eastAsiaTheme="minorEastAsia" w:cstheme="minorBidi"/>
          <w:lang w:eastAsia="en-US"/>
        </w:rPr>
      </w:pPr>
      <w:r>
        <w:rPr>
          <w:rFonts w:eastAsiaTheme="minorEastAsia"/>
          <w:lang w:eastAsia="en-US"/>
        </w:rPr>
        <w:t xml:space="preserve">                                                               </w:t>
      </w:r>
      <w:r>
        <w:rPr>
          <w:rFonts w:eastAsiaTheme="minorEastAsia"/>
          <w:lang w:eastAsia="en-US"/>
        </w:rPr>
        <w:t xml:space="preserve">от27</w:t>
      </w:r>
      <w:r>
        <w:rPr>
          <w:rFonts w:eastAsiaTheme="minorEastAsia"/>
          <w:u w:val="single"/>
          <w:lang w:eastAsia="en-US"/>
        </w:rPr>
        <w:t xml:space="preserve">.</w:t>
      </w:r>
      <w:r>
        <w:rPr>
          <w:rFonts w:eastAsiaTheme="minorEastAsia"/>
          <w:u w:val="single"/>
          <w:lang w:eastAsia="en-US"/>
        </w:rPr>
        <w:t xml:space="preserve">12</w:t>
      </w:r>
      <w:r>
        <w:rPr>
          <w:rFonts w:eastAsiaTheme="minorEastAsia"/>
          <w:u w:val="single"/>
          <w:lang w:eastAsia="en-US"/>
        </w:rPr>
        <w:t xml:space="preserve">.202</w:t>
      </w:r>
      <w:r>
        <w:rPr>
          <w:rFonts w:eastAsiaTheme="minorEastAsia"/>
          <w:u w:val="single"/>
          <w:lang w:eastAsia="en-US"/>
        </w:rPr>
        <w:t xml:space="preserve">4</w:t>
      </w:r>
      <w:r>
        <w:rPr>
          <w:rFonts w:eastAsiaTheme="minorEastAsia"/>
          <w:u w:val="single"/>
          <w:lang w:eastAsia="en-US"/>
        </w:rPr>
        <w:t xml:space="preserve"> </w:t>
      </w:r>
      <w:r>
        <w:rPr>
          <w:rFonts w:eastAsiaTheme="minorEastAsia" w:cstheme="minorBidi"/>
          <w:u w:val="single"/>
          <w:lang w:eastAsia="en-US"/>
        </w:rPr>
        <w:t xml:space="preserve">№</w:t>
      </w:r>
      <w:r>
        <w:rPr>
          <w:rFonts w:eastAsiaTheme="minorEastAsia" w:cstheme="minorBidi"/>
          <w:u w:val="single"/>
          <w:lang w:eastAsia="en-US"/>
        </w:rPr>
        <w:t xml:space="preserve"> </w:t>
      </w:r>
      <w:r>
        <w:rPr>
          <w:rFonts w:eastAsiaTheme="minorEastAsia" w:cstheme="minorBidi"/>
          <w:u w:val="single"/>
          <w:lang w:eastAsia="en-US"/>
        </w:rPr>
        <w:t xml:space="preserve">255</w:t>
      </w:r>
      <w:r>
        <w:rPr>
          <w:rFonts w:eastAsiaTheme="minorEastAsia" w:cstheme="minorBidi"/>
          <w:lang w:eastAsia="en-US"/>
        </w:rPr>
      </w:r>
    </w:p>
    <w:p>
      <w:pPr>
        <w:ind w:left="6164"/>
        <w:rPr>
          <w:rFonts w:eastAsiaTheme="minorEastAsia"/>
          <w:sz w:val="22"/>
          <w:szCs w:val="22"/>
          <w:lang w:eastAsia="en-US"/>
        </w:rPr>
      </w:pPr>
      <w:r>
        <w:rPr>
          <w:rFonts w:eastAsiaTheme="minorEastAsia"/>
          <w:sz w:val="22"/>
          <w:szCs w:val="22"/>
          <w:lang w:eastAsia="en-US"/>
        </w:rPr>
      </w:r>
      <w:r>
        <w:rPr>
          <w:rFonts w:eastAsiaTheme="minorEastAsia"/>
          <w:sz w:val="22"/>
          <w:szCs w:val="22"/>
          <w:lang w:eastAsia="en-US"/>
        </w:rPr>
      </w:r>
      <w:r>
        <w:rPr>
          <w:rFonts w:eastAsiaTheme="minorEastAsia"/>
          <w:sz w:val="22"/>
          <w:szCs w:val="22"/>
          <w:lang w:eastAsia="en-US"/>
        </w:rPr>
      </w:r>
    </w:p>
    <w:p>
      <w:pPr>
        <w:jc w:val="left"/>
        <w:rPr>
          <w:rFonts w:eastAsiaTheme="minorEastAsia"/>
          <w:b/>
          <w:lang w:eastAsia="en-US"/>
        </w:rPr>
      </w:pPr>
      <w:r>
        <w:rPr>
          <w:rFonts w:eastAsiaTheme="minorEastAsia"/>
          <w:b/>
          <w:lang w:eastAsia="en-US"/>
        </w:rPr>
      </w:r>
      <w:r>
        <w:rPr>
          <w:rFonts w:eastAsiaTheme="minorEastAsia"/>
          <w:b/>
          <w:lang w:eastAsia="en-US"/>
        </w:rPr>
      </w:r>
      <w:r>
        <w:rPr>
          <w:rFonts w:eastAsiaTheme="minorEastAsia"/>
          <w:b/>
          <w:lang w:eastAsia="en-US"/>
        </w:rPr>
      </w:r>
    </w:p>
    <w:p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</w:t>
      </w:r>
      <w:r>
        <w:rPr>
          <w:rFonts w:ascii="Times New Roman" w:hAnsi="Times New Roman"/>
          <w:b/>
          <w:sz w:val="24"/>
          <w:szCs w:val="24"/>
        </w:rPr>
        <w:t xml:space="preserve">индикаторов риска нарушения обязательных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требований при осуществлении муниципального</w:t>
      </w:r>
      <w:r>
        <w:rPr>
          <w:rFonts w:ascii="Times New Roman" w:hAnsi="Times New Roman"/>
          <w:b/>
          <w:sz w:val="24"/>
          <w:szCs w:val="24"/>
        </w:rPr>
        <w:t xml:space="preserve"> жилищного контроля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iCs/>
          <w:sz w:val="24"/>
          <w:szCs w:val="24"/>
        </w:rPr>
        <w:t xml:space="preserve">н</w:t>
      </w:r>
      <w:r>
        <w:rPr>
          <w:rFonts w:ascii="Times New Roman" w:hAnsi="Times New Roman" w:eastAsia="Calibri"/>
          <w:b/>
          <w:sz w:val="24"/>
          <w:szCs w:val="24"/>
        </w:rPr>
        <w:t xml:space="preserve">а территории </w:t>
      </w:r>
      <w:r>
        <w:rPr>
          <w:rFonts w:ascii="Times New Roman" w:hAnsi="Times New Roman" w:eastAsia="Calibri"/>
          <w:b/>
          <w:bCs/>
          <w:sz w:val="24"/>
          <w:szCs w:val="24"/>
        </w:rPr>
        <w:t xml:space="preserve">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ind w:firstLine="540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Нурминское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 сельское поселение </w:t>
      </w:r>
      <w:r>
        <w:rPr>
          <w:rFonts w:ascii="Times New Roman" w:hAnsi="Times New Roman"/>
          <w:b/>
          <w:bCs/>
          <w:color w:val="231f20"/>
          <w:sz w:val="24"/>
          <w:szCs w:val="24"/>
        </w:rPr>
      </w:r>
      <w:r>
        <w:rPr>
          <w:rFonts w:ascii="Times New Roman" w:hAnsi="Times New Roman"/>
          <w:b/>
          <w:bCs/>
          <w:color w:val="231f20"/>
          <w:sz w:val="24"/>
          <w:szCs w:val="24"/>
        </w:rPr>
      </w:r>
    </w:p>
    <w:p>
      <w:pPr>
        <w:ind w:firstLine="540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Тосненского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муниципального района Ленинградской области</w:t>
      </w:r>
      <w:r>
        <w:rPr>
          <w:rFonts w:ascii="Times New Roman" w:hAnsi="Times New Roman"/>
          <w:b/>
          <w:bCs/>
          <w:color w:val="231f20"/>
          <w:sz w:val="24"/>
          <w:szCs w:val="24"/>
        </w:rPr>
      </w:r>
      <w:r>
        <w:rPr>
          <w:rFonts w:ascii="Times New Roman" w:hAnsi="Times New Roman"/>
          <w:b/>
          <w:bCs/>
          <w:color w:val="231f20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9"/>
        <w:ind w:firstLine="851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Трехкратный и более рост количества обращений за </w:t>
      </w:r>
      <w:r>
        <w:rPr>
          <w:sz w:val="24"/>
          <w:szCs w:val="24"/>
        </w:rPr>
        <w:t xml:space="preserve">квартал </w:t>
      </w:r>
      <w:r>
        <w:rPr>
          <w:sz w:val="24"/>
          <w:szCs w:val="24"/>
        </w:rPr>
        <w:t xml:space="preserve">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</w:t>
      </w:r>
      <w:r>
        <w:rPr>
          <w:sz w:val="24"/>
          <w:szCs w:val="24"/>
        </w:rPr>
        <w:t xml:space="preserve">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</w:t>
      </w:r>
      <w:r>
        <w:rPr>
          <w:sz w:val="24"/>
          <w:szCs w:val="24"/>
        </w:rPr>
        <w:t xml:space="preserve"> самоуправления, из с</w:t>
      </w:r>
      <w:r>
        <w:rPr>
          <w:sz w:val="24"/>
          <w:szCs w:val="24"/>
        </w:rPr>
        <w:t xml:space="preserve">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</w:t>
      </w:r>
      <w:r>
        <w:rPr>
          <w:sz w:val="24"/>
          <w:szCs w:val="24"/>
          <w:vertAlign w:val="superscript"/>
        </w:rPr>
        <w:t xml:space="preserve"> 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8"/>
          <w:szCs w:val="28"/>
        </w:rPr>
      </w:r>
    </w:p>
    <w:p>
      <w:pPr>
        <w:pStyle w:val="849"/>
        <w:ind w:firstLine="851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Выявление в течение 3 месяцев более 5 фактов несоответствия (недостоверных сведений (информации), полученных от гражданина или организации, являющихся собственниками помещений в многоквартирном доме, гражданина являющегося пользоват</w:t>
      </w:r>
      <w:r>
        <w:rPr>
          <w:sz w:val="24"/>
          <w:szCs w:val="24"/>
        </w:rPr>
        <w:t xml:space="preserve">елем помещения в многоквартирном доме, информации от органов государственной власти, органов местного самоуправления, из средств массовой информации, размещенной контролируемым лицом в государственной информационной системе жилищно-коммунального хозяйства.</w:t>
      </w:r>
      <w:r>
        <w:rPr>
          <w:sz w:val="24"/>
          <w:szCs w:val="24"/>
        </w:rPr>
      </w:r>
      <w:r>
        <w:rPr>
          <w:sz w:val="28"/>
          <w:szCs w:val="28"/>
        </w:rPr>
      </w:r>
    </w:p>
    <w:p>
      <w:pPr>
        <w:pStyle w:val="849"/>
        <w:ind w:firstLine="851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4"/>
          <w:szCs w:val="24"/>
        </w:rPr>
        <w:t xml:space="preserve">3. Поступление в орган муниципальн</w:t>
      </w:r>
      <w:r>
        <w:rPr>
          <w:sz w:val="24"/>
          <w:szCs w:val="24"/>
        </w:rPr>
        <w:t xml:space="preserve">ого жилищного контроля в течение 3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 содержащих решения по аналогичным вопросам повестки дня.</w:t>
      </w:r>
      <w:r>
        <w:rPr>
          <w:sz w:val="24"/>
          <w:szCs w:val="24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rFonts w:ascii="Times New Roman" w:hAnsi="Times New Roman"/>
          <w:bCs/>
          <w:color w:val="231f20"/>
          <w:sz w:val="24"/>
          <w:szCs w:val="24"/>
        </w:rPr>
      </w:pPr>
      <w:r>
        <w:rPr>
          <w:rFonts w:ascii="Times New Roman" w:hAnsi="Times New Roman"/>
          <w:bCs/>
          <w:color w:val="231f20"/>
          <w:sz w:val="24"/>
          <w:szCs w:val="24"/>
        </w:rPr>
      </w:r>
      <w:r>
        <w:rPr>
          <w:rFonts w:ascii="Times New Roman" w:hAnsi="Times New Roman"/>
          <w:bCs/>
          <w:color w:val="231f20"/>
          <w:sz w:val="24"/>
          <w:szCs w:val="24"/>
        </w:rPr>
      </w:r>
    </w:p>
    <w:p>
      <w:pPr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  <w:lang w:eastAsia="en-US"/>
        </w:rPr>
      </w:r>
      <w:r>
        <w:rPr>
          <w:rFonts w:eastAsiaTheme="minorEastAsia"/>
          <w:b/>
          <w:sz w:val="24"/>
          <w:szCs w:val="24"/>
        </w:rPr>
      </w:r>
      <w:r>
        <w:rPr>
          <w:rFonts w:eastAsiaTheme="minorEastAsia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6" w:bottom="142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8" w:hanging="888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1"/>
    <w:next w:val="841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2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1"/>
    <w:next w:val="841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2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1"/>
    <w:next w:val="841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2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2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2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2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2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2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2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1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1"/>
    <w:next w:val="841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2"/>
    <w:link w:val="684"/>
    <w:uiPriority w:val="10"/>
    <w:rPr>
      <w:sz w:val="48"/>
      <w:szCs w:val="48"/>
    </w:rPr>
  </w:style>
  <w:style w:type="paragraph" w:styleId="686">
    <w:name w:val="Subtitle"/>
    <w:basedOn w:val="841"/>
    <w:next w:val="841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2"/>
    <w:link w:val="686"/>
    <w:uiPriority w:val="11"/>
    <w:rPr>
      <w:sz w:val="24"/>
      <w:szCs w:val="24"/>
    </w:rPr>
  </w:style>
  <w:style w:type="paragraph" w:styleId="688">
    <w:name w:val="Quote"/>
    <w:basedOn w:val="841"/>
    <w:next w:val="841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1"/>
    <w:next w:val="841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1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2"/>
    <w:link w:val="692"/>
    <w:uiPriority w:val="99"/>
  </w:style>
  <w:style w:type="paragraph" w:styleId="694">
    <w:name w:val="Footer"/>
    <w:basedOn w:val="841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2"/>
    <w:link w:val="694"/>
    <w:uiPriority w:val="99"/>
  </w:style>
  <w:style w:type="paragraph" w:styleId="696">
    <w:name w:val="Caption"/>
    <w:basedOn w:val="841"/>
    <w:next w:val="841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42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character" w:styleId="845">
    <w:name w:val="Hyperlink"/>
    <w:basedOn w:val="842"/>
    <w:uiPriority w:val="99"/>
    <w:unhideWhenUsed/>
    <w:rPr>
      <w:color w:val="0000ff" w:themeColor="hyperlink"/>
      <w:u w:val="single"/>
    </w:rPr>
  </w:style>
  <w:style w:type="paragraph" w:styleId="846">
    <w:name w:val="Balloon Text"/>
    <w:basedOn w:val="841"/>
    <w:link w:val="84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7" w:customStyle="1">
    <w:name w:val="Текст выноски Знак"/>
    <w:basedOn w:val="842"/>
    <w:link w:val="84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4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s_1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1</cp:lastModifiedBy>
  <cp:revision>21</cp:revision>
  <dcterms:created xsi:type="dcterms:W3CDTF">2022-08-25T09:14:00Z</dcterms:created>
  <dcterms:modified xsi:type="dcterms:W3CDTF">2025-04-03T11:00:59Z</dcterms:modified>
</cp:coreProperties>
</file>